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left="1276"/>
        <w:rPr>
          <w:rFonts w:ascii="Arial" w:hAnsi="Arial" w:eastAsia="Times New Roman" w:cs="Arial"/>
          <w:b/>
          <w:lang w:eastAsia="pt-BR"/>
        </w:rPr>
      </w:pPr>
      <w:r>
        <w:pict>
          <v:shape id="Imagem 1" o:spid="_x0000_s1033" o:spt="75" type="#_x0000_t75" style="position:absolute;left:0pt;margin-left:6.1pt;margin-top:-2.35pt;height:58.95pt;width:48.3pt;z-index:1024;mso-width-relative:page;mso-height-relative:page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</v:shape>
        </w:pict>
      </w:r>
      <w:r>
        <w:pict>
          <v:line id="Conector reto 3" o:spid="_x0000_s1032" o:spt="20" style="position:absolute;left:0pt;margin-left:0pt;margin-top:-13.05pt;height:0pt;width:467.5pt;z-index:102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">
            <v:path arrowok="t"/>
            <v:fill focussize="0,0"/>
            <v:stroke weight="3pt"/>
            <v:imagedata o:title=""/>
            <o:lock v:ext="edit"/>
          </v:line>
        </w:pict>
      </w:r>
      <w:r>
        <w:rPr>
          <w:rFonts w:ascii="Arial" w:hAnsi="Arial" w:eastAsia="Times New Roman" w:cs="Arial"/>
          <w:b/>
          <w:lang w:eastAsia="pt-BR"/>
        </w:rPr>
        <w:t>Universidade Federal do Ceará</w:t>
      </w:r>
    </w:p>
    <w:p>
      <w:pPr>
        <w:ind w:left="1276"/>
        <w:rPr>
          <w:rFonts w:ascii="Arial" w:hAnsi="Arial" w:eastAsia="Times New Roman" w:cs="Arial"/>
          <w:b/>
          <w:lang w:eastAsia="pt-BR"/>
        </w:rPr>
      </w:pPr>
      <w:r>
        <w:rPr>
          <w:rFonts w:ascii="Arial" w:hAnsi="Arial" w:eastAsia="Times New Roman" w:cs="Arial"/>
          <w:b/>
          <w:lang w:eastAsia="pt-BR"/>
        </w:rPr>
        <w:t>Centro de Tecnologia</w:t>
      </w:r>
    </w:p>
    <w:p>
      <w:pPr>
        <w:ind w:left="1276"/>
        <w:rPr>
          <w:rFonts w:ascii="Arial" w:hAnsi="Arial" w:eastAsia="Times New Roman" w:cs="Arial"/>
          <w:b/>
          <w:lang w:eastAsia="pt-BR"/>
        </w:rPr>
      </w:pPr>
      <w:r>
        <w:rPr>
          <w:rFonts w:ascii="Arial" w:hAnsi="Arial" w:eastAsia="Times New Roman" w:cs="Arial"/>
          <w:b/>
          <w:lang w:eastAsia="pt-BR"/>
        </w:rPr>
        <w:t>Departamento de Engenharia Hidráulica e Ambiental</w:t>
      </w:r>
    </w:p>
    <w:p>
      <w:pPr>
        <w:ind w:left="1276"/>
        <w:rPr>
          <w:rFonts w:ascii="Arial" w:hAnsi="Arial" w:eastAsia="Times New Roman" w:cs="Arial"/>
          <w:b/>
          <w:lang w:eastAsia="pt-BR"/>
        </w:rPr>
      </w:pPr>
      <w:r>
        <w:rPr>
          <w:rFonts w:ascii="Arial" w:hAnsi="Arial" w:eastAsia="Times New Roman" w:cs="Arial"/>
          <w:b/>
          <w:lang w:eastAsia="pt-BR"/>
        </w:rPr>
        <w:t>Curso de Pós-Graduação em Engenharia Civil (Recursos Hídricos, Saneamento Ambiental e Geotecnia)</w:t>
      </w:r>
    </w:p>
    <w:p>
      <w:pPr>
        <w:jc w:val="center"/>
        <w:rPr>
          <w:rFonts w:eastAsia="Times New Roman"/>
          <w:lang w:eastAsia="pt-BR"/>
        </w:rPr>
      </w:pPr>
      <w:r>
        <w:pict>
          <v:line id="Conector reto 2" o:spid="_x0000_s1031" o:spt="20" style="position:absolute;left:0pt;margin-left:0.55pt;margin-top:12.6pt;height:0pt;width:467.5pt;z-index:102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">
            <v:path arrowok="t"/>
            <v:fill focussize="0,0"/>
            <v:stroke weight="3pt"/>
            <v:imagedata o:title=""/>
            <o:lock v:ext="edit"/>
          </v:line>
        </w:pict>
      </w:r>
    </w:p>
    <w:p>
      <w:pPr>
        <w:pStyle w:val="5"/>
      </w:pPr>
    </w:p>
    <w:p>
      <w:pPr>
        <w:autoSpaceDE w:val="0"/>
        <w:jc w:val="center"/>
        <w:rPr>
          <w:rFonts w:ascii="Trebuchet MS" w:hAnsi="Trebuchet MS" w:cs="Trebuchet MS"/>
          <w:b/>
          <w:bCs/>
          <w:sz w:val="28"/>
          <w:szCs w:val="28"/>
        </w:rPr>
      </w:pPr>
    </w:p>
    <w:p>
      <w:pPr>
        <w:autoSpaceDE w:val="0"/>
        <w:jc w:val="center"/>
        <w:rPr>
          <w:rFonts w:ascii="Trebuchet MS" w:hAnsi="Trebuchet MS" w:cs="Trebuchet MS"/>
          <w:b/>
          <w:bCs/>
          <w:sz w:val="40"/>
          <w:szCs w:val="40"/>
        </w:rPr>
      </w:pPr>
      <w:r>
        <w:rPr>
          <w:rFonts w:ascii="Trebuchet MS" w:hAnsi="Trebuchet MS" w:cs="Trebuchet MS"/>
          <w:bCs/>
          <w:sz w:val="40"/>
          <w:szCs w:val="40"/>
        </w:rPr>
        <w:t>PLANO DE TRABALHO</w:t>
      </w:r>
    </w:p>
    <w:p>
      <w:pPr>
        <w:autoSpaceDE w:val="0"/>
        <w:jc w:val="center"/>
        <w:rPr>
          <w:rFonts w:ascii="Trebuchet MS" w:hAnsi="Trebuchet MS" w:cs="Trebuchet MS"/>
          <w:b/>
          <w:bCs/>
          <w:sz w:val="32"/>
          <w:szCs w:val="32"/>
        </w:rPr>
      </w:pPr>
    </w:p>
    <w:tbl>
      <w:tblPr>
        <w:tblStyle w:val="8"/>
        <w:tblW w:w="9135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000"/>
        <w:gridCol w:w="1567"/>
        <w:gridCol w:w="4568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1" w:hRule="atLeast"/>
        </w:trPr>
        <w:tc>
          <w:tcPr>
            <w:tcW w:w="9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snapToGrid w:val="0"/>
            </w:pPr>
            <w:r>
              <w:rPr>
                <w:rFonts w:ascii="Trebuchet MS" w:hAnsi="Trebuchet MS" w:eastAsia="Times New Roman" w:cs="Trebuchet MS"/>
                <w:b/>
                <w:bCs/>
              </w:rPr>
              <w:t>1. TIPO DE COMPONENTE: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46" w:hRule="atLeast"/>
        </w:trPr>
        <w:tc>
          <w:tcPr>
            <w:tcW w:w="9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snapToGrid w:val="0"/>
            </w:pPr>
            <w:r>
              <w:rPr>
                <w:rFonts w:ascii="Trebuchet MS" w:hAnsi="Trebuchet MS" w:eastAsia="Times New Roman" w:cs="Trebuchet MS"/>
                <w:b/>
              </w:rPr>
              <w:t xml:space="preserve">Atividade (   )                  </w:t>
            </w:r>
            <w:r>
              <w:rPr>
                <w:rFonts w:ascii="Trebuchet MS" w:hAnsi="Trebuchet MS" w:cs="Trebuchet MS"/>
                <w:b/>
              </w:rPr>
              <w:t>Disciplina</w:t>
            </w:r>
            <w:r>
              <w:rPr>
                <w:rFonts w:ascii="Trebuchet MS" w:hAnsi="Trebuchet MS" w:eastAsia="Times New Roman" w:cs="Trebuchet MS"/>
                <w:b/>
              </w:rPr>
              <w:t xml:space="preserve"> ( X )                    </w:t>
            </w:r>
            <w:r>
              <w:rPr>
                <w:rFonts w:ascii="Trebuchet MS" w:hAnsi="Trebuchet MS" w:cs="Trebuchet MS"/>
                <w:b/>
              </w:rPr>
              <w:t>Módulo</w:t>
            </w:r>
            <w:r>
              <w:rPr>
                <w:rFonts w:ascii="Trebuchet MS" w:hAnsi="Trebuchet MS" w:eastAsia="Times New Roman" w:cs="Trebuchet MS"/>
                <w:b/>
              </w:rPr>
              <w:t xml:space="preserve"> (   )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45" w:hRule="atLeast"/>
        </w:trPr>
        <w:tc>
          <w:tcPr>
            <w:tcW w:w="9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snapToGrid w:val="0"/>
            </w:pPr>
            <w:r>
              <w:rPr>
                <w:rFonts w:ascii="Trebuchet MS" w:hAnsi="Trebuchet MS" w:eastAsia="Times New Roman" w:cs="Trebuchet MS"/>
                <w:b/>
                <w:bCs/>
              </w:rPr>
              <w:t xml:space="preserve">2. </w:t>
            </w:r>
            <w:r>
              <w:rPr>
                <w:rFonts w:ascii="Trebuchet MS" w:hAnsi="Trebuchet MS" w:cs="Trebuchet MS"/>
                <w:b/>
                <w:bCs/>
              </w:rPr>
              <w:t>NÍVEL</w:t>
            </w:r>
            <w:r>
              <w:rPr>
                <w:rFonts w:ascii="Trebuchet MS" w:hAnsi="Trebuchet MS" w:eastAsia="Times New Roman" w:cs="Trebuchet MS"/>
                <w:b/>
                <w:bCs/>
              </w:rPr>
              <w:t>: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2" w:hRule="atLeast"/>
        </w:trPr>
        <w:tc>
          <w:tcPr>
            <w:tcW w:w="9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snapToGrid w:val="0"/>
            </w:pPr>
            <w:r>
              <w:rPr>
                <w:rFonts w:ascii="Trebuchet MS" w:hAnsi="Trebuchet MS" w:eastAsia="Trebuchet MS" w:cs="Trebuchet MS"/>
              </w:rPr>
              <w:t xml:space="preserve">                            </w:t>
            </w:r>
            <w:r>
              <w:rPr>
                <w:rFonts w:ascii="Trebuchet MS" w:hAnsi="Trebuchet MS" w:eastAsia="Times New Roman" w:cs="Trebuchet MS"/>
              </w:rPr>
              <w:t>Mestrado ( X )                        Doutorado ( X )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63" w:hRule="atLeast"/>
        </w:trPr>
        <w:tc>
          <w:tcPr>
            <w:tcW w:w="9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snapToGrid w:val="0"/>
            </w:pPr>
            <w:r>
              <w:rPr>
                <w:rFonts w:ascii="Trebuchet MS" w:hAnsi="Trebuchet MS" w:eastAsia="Times New Roman" w:cs="Trebuchet MS"/>
                <w:b/>
                <w:bCs/>
              </w:rPr>
              <w:t xml:space="preserve">3. </w:t>
            </w:r>
            <w:r>
              <w:rPr>
                <w:rFonts w:ascii="Trebuchet MS" w:hAnsi="Trebuchet MS" w:cs="Trebuchet MS"/>
                <w:b/>
                <w:bCs/>
              </w:rPr>
              <w:t>IDENTIFICAÇÃO</w:t>
            </w:r>
            <w:r>
              <w:rPr>
                <w:rFonts w:ascii="Trebuchet MS" w:hAnsi="Trebuchet MS" w:eastAsia="Times New Roman" w:cs="Trebuchet MS"/>
                <w:b/>
                <w:bCs/>
              </w:rPr>
              <w:t xml:space="preserve"> </w:t>
            </w:r>
            <w:r>
              <w:rPr>
                <w:rFonts w:ascii="Trebuchet MS" w:hAnsi="Trebuchet MS" w:cs="Trebuchet MS"/>
                <w:b/>
                <w:bCs/>
              </w:rPr>
              <w:t>DO</w:t>
            </w:r>
            <w:r>
              <w:rPr>
                <w:rFonts w:ascii="Trebuchet MS" w:hAnsi="Trebuchet MS" w:eastAsia="Times New Roman" w:cs="Trebuchet MS"/>
                <w:b/>
                <w:bCs/>
              </w:rPr>
              <w:t xml:space="preserve"> COMPONENTE: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33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Nome</w:t>
            </w:r>
            <w:r>
              <w:rPr>
                <w:rFonts w:ascii="Trebuchet MS" w:hAnsi="Trebuchet MS" w:eastAsia="Times New Roman" w:cs="Trebuchet MS"/>
              </w:rPr>
              <w:t xml:space="preserve">: </w:t>
            </w:r>
          </w:p>
        </w:tc>
        <w:tc>
          <w:tcPr>
            <w:tcW w:w="6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Hidráulica Avançada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33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Código</w:t>
            </w:r>
            <w:r>
              <w:rPr>
                <w:rFonts w:ascii="Trebuchet MS" w:hAnsi="Trebuchet MS" w:eastAsia="Times New Roman" w:cs="Trebuchet MS"/>
              </w:rPr>
              <w:t>:</w:t>
            </w:r>
          </w:p>
        </w:tc>
        <w:tc>
          <w:tcPr>
            <w:tcW w:w="6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TDP8414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3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Carga</w:t>
            </w:r>
            <w:r>
              <w:rPr>
                <w:rFonts w:ascii="Trebuchet MS" w:hAnsi="Trebuchet MS" w:eastAsia="Times New Roman" w:cs="Trebuchet MS"/>
              </w:rPr>
              <w:t xml:space="preserve"> </w:t>
            </w:r>
            <w:r>
              <w:rPr>
                <w:rFonts w:ascii="Trebuchet MS" w:hAnsi="Trebuchet MS" w:cs="Trebuchet MS"/>
              </w:rPr>
              <w:t xml:space="preserve">Horária </w:t>
            </w:r>
          </w:p>
        </w:tc>
        <w:tc>
          <w:tcPr>
            <w:tcW w:w="6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64h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33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N</w:t>
            </w:r>
            <w:r>
              <w:rPr>
                <w:rFonts w:ascii="Trebuchet MS" w:hAnsi="Trebuchet MS" w:cs="Trebuchet MS"/>
                <w:sz w:val="16"/>
                <w:szCs w:val="16"/>
              </w:rPr>
              <w:t>º</w:t>
            </w:r>
            <w:r>
              <w:rPr>
                <w:rFonts w:ascii="Trebuchet MS" w:hAnsi="Trebuchet MS" w:eastAsia="Times New Roman" w:cs="Trebuchet MS"/>
                <w:sz w:val="16"/>
                <w:szCs w:val="16"/>
              </w:rPr>
              <w:t xml:space="preserve"> </w:t>
            </w:r>
            <w:r>
              <w:rPr>
                <w:rFonts w:ascii="Trebuchet MS" w:hAnsi="Trebuchet MS" w:cs="Trebuchet MS"/>
              </w:rPr>
              <w:t>de</w:t>
            </w:r>
            <w:r>
              <w:rPr>
                <w:rFonts w:ascii="Trebuchet MS" w:hAnsi="Trebuchet MS" w:eastAsia="Times New Roman" w:cs="Trebuchet MS"/>
              </w:rPr>
              <w:t xml:space="preserve"> </w:t>
            </w:r>
            <w:r>
              <w:rPr>
                <w:rFonts w:ascii="Trebuchet MS" w:hAnsi="Trebuchet MS" w:cs="Trebuchet MS"/>
              </w:rPr>
              <w:t>Créditos</w:t>
            </w:r>
            <w:r>
              <w:rPr>
                <w:rFonts w:ascii="Trebuchet MS" w:hAnsi="Trebuchet MS" w:eastAsia="Times New Roman" w:cs="Trebuchet MS"/>
              </w:rPr>
              <w:t>:</w:t>
            </w:r>
          </w:p>
        </w:tc>
        <w:tc>
          <w:tcPr>
            <w:tcW w:w="6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4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5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autoSpaceDE w:val="0"/>
              <w:snapToGrid w:val="0"/>
              <w:rPr>
                <w:rFonts w:ascii="Trebuchet MS" w:hAnsi="Trebuchet MS" w:eastAsia="Trebuchet MS" w:cs="Trebuchet MS"/>
              </w:rPr>
            </w:pPr>
            <w:r>
              <w:rPr>
                <w:rFonts w:ascii="Trebuchet MS" w:hAnsi="Trebuchet MS" w:cs="Trebuchet MS"/>
              </w:rPr>
              <w:t>Obrigatória</w:t>
            </w:r>
            <w:r>
              <w:rPr>
                <w:rFonts w:ascii="Trebuchet MS" w:hAnsi="Trebuchet MS" w:eastAsia="Times New Roman" w:cs="Trebuchet MS"/>
              </w:rPr>
              <w:t>:</w:t>
            </w:r>
          </w:p>
        </w:tc>
        <w:tc>
          <w:tcPr>
            <w:tcW w:w="6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snapToGrid w:val="0"/>
            </w:pPr>
            <w:r>
              <w:rPr>
                <w:rFonts w:ascii="Trebuchet MS" w:hAnsi="Trebuchet MS" w:eastAsia="Trebuchet MS" w:cs="Trebuchet MS"/>
              </w:rPr>
              <w:t xml:space="preserve">      </w:t>
            </w:r>
            <w:r>
              <w:rPr>
                <w:rFonts w:ascii="Trebuchet MS" w:hAnsi="Trebuchet MS" w:cs="Trebuchet MS"/>
              </w:rPr>
              <w:t>Sim</w:t>
            </w:r>
            <w:r>
              <w:rPr>
                <w:rFonts w:ascii="Trebuchet MS" w:hAnsi="Trebuchet MS" w:eastAsia="Times New Roman" w:cs="Trebuchet MS"/>
              </w:rPr>
              <w:t xml:space="preserve"> ( X )                                  </w:t>
            </w:r>
            <w:r>
              <w:rPr>
                <w:rFonts w:ascii="Trebuchet MS" w:hAnsi="Trebuchet MS" w:cs="Trebuchet MS"/>
              </w:rPr>
              <w:t>Não</w:t>
            </w:r>
            <w:r>
              <w:rPr>
                <w:rFonts w:ascii="Trebuchet MS" w:hAnsi="Trebuchet MS" w:eastAsia="Times New Roman" w:cs="Trebuchet MS"/>
              </w:rPr>
              <w:t xml:space="preserve">  (  )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50" w:hRule="atLeast"/>
        </w:trPr>
        <w:tc>
          <w:tcPr>
            <w:tcW w:w="30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Área</w:t>
            </w:r>
            <w:r>
              <w:rPr>
                <w:rFonts w:ascii="Trebuchet MS" w:hAnsi="Trebuchet MS" w:eastAsia="Times New Roman" w:cs="Trebuchet MS"/>
              </w:rPr>
              <w:t xml:space="preserve"> </w:t>
            </w:r>
            <w:r>
              <w:rPr>
                <w:rFonts w:ascii="Trebuchet MS" w:hAnsi="Trebuchet MS" w:cs="Trebuchet MS"/>
              </w:rPr>
              <w:t>de</w:t>
            </w:r>
            <w:r>
              <w:rPr>
                <w:rFonts w:ascii="Trebuchet MS" w:hAnsi="Trebuchet MS" w:eastAsia="Times New Roman" w:cs="Trebuchet MS"/>
              </w:rPr>
              <w:t xml:space="preserve"> </w:t>
            </w:r>
            <w:r>
              <w:rPr>
                <w:rFonts w:ascii="Trebuchet MS" w:hAnsi="Trebuchet MS" w:cs="Trebuchet MS"/>
              </w:rPr>
              <w:t>Concentração</w:t>
            </w:r>
            <w:r>
              <w:rPr>
                <w:rFonts w:ascii="Trebuchet MS" w:hAnsi="Trebuchet MS" w:eastAsia="Times New Roman" w:cs="Trebuchet MS"/>
              </w:rPr>
              <w:t>:</w:t>
            </w:r>
          </w:p>
        </w:tc>
        <w:tc>
          <w:tcPr>
            <w:tcW w:w="613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Recursos Hídricos / Saneamento Ambiental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62" w:hRule="atLeast"/>
        </w:trPr>
        <w:tc>
          <w:tcPr>
            <w:tcW w:w="9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snapToGrid w:val="0"/>
            </w:pPr>
            <w:r>
              <w:rPr>
                <w:rFonts w:ascii="Trebuchet MS" w:hAnsi="Trebuchet MS" w:eastAsia="Times New Roman" w:cs="Trebuchet MS"/>
                <w:b/>
                <w:bCs/>
              </w:rPr>
              <w:t xml:space="preserve">4. </w:t>
            </w:r>
            <w:r>
              <w:rPr>
                <w:rFonts w:ascii="Trebuchet MS" w:hAnsi="Trebuchet MS" w:cs="Trebuchet MS"/>
                <w:b/>
                <w:bCs/>
              </w:rPr>
              <w:t>DOCENTE</w:t>
            </w:r>
            <w:r>
              <w:rPr>
                <w:rFonts w:ascii="Trebuchet MS" w:hAnsi="Trebuchet MS" w:eastAsia="Times New Roman" w:cs="Trebuchet MS"/>
                <w:b/>
                <w:bCs/>
              </w:rPr>
              <w:t xml:space="preserve"> </w:t>
            </w:r>
            <w:r>
              <w:rPr>
                <w:rFonts w:ascii="Trebuchet MS" w:hAnsi="Trebuchet MS" w:cs="Trebuchet MS"/>
                <w:b/>
                <w:bCs/>
              </w:rPr>
              <w:t>RESPONSÁVEL</w:t>
            </w:r>
            <w:r>
              <w:rPr>
                <w:rFonts w:ascii="Trebuchet MS" w:hAnsi="Trebuchet MS" w:eastAsia="Times New Roman" w:cs="Trebuchet MS"/>
                <w:b/>
                <w:bCs/>
              </w:rPr>
              <w:t>: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68" w:hRule="atLeast"/>
        </w:trPr>
        <w:tc>
          <w:tcPr>
            <w:tcW w:w="9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Iran Eduardo Lima Neto e Marco Aurélio Holanda de Castro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68" w:hRule="atLeast"/>
        </w:trPr>
        <w:tc>
          <w:tcPr>
            <w:tcW w:w="913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snapToGrid w:val="0"/>
            </w:pPr>
            <w:r>
              <w:rPr>
                <w:rFonts w:ascii="Trebuchet MS" w:hAnsi="Trebuchet MS" w:eastAsia="Times New Roman" w:cs="Trebuchet MS"/>
                <w:b/>
                <w:bCs/>
              </w:rPr>
              <w:t xml:space="preserve">5. </w:t>
            </w:r>
            <w:r>
              <w:rPr>
                <w:rFonts w:ascii="Trebuchet MS" w:hAnsi="Trebuchet MS" w:cs="Trebuchet MS"/>
                <w:b/>
                <w:bCs/>
              </w:rPr>
              <w:t>JUSTIFICATIVA</w:t>
            </w:r>
            <w:r>
              <w:rPr>
                <w:rFonts w:ascii="Trebuchet MS" w:hAnsi="Trebuchet MS" w:eastAsia="Times New Roman" w:cs="Trebuchet MS"/>
                <w:b/>
                <w:bCs/>
              </w:rPr>
              <w:t>: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63" w:hRule="atLeast"/>
        </w:trPr>
        <w:tc>
          <w:tcPr>
            <w:tcW w:w="913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snapToGrid w:val="0"/>
              <w:jc w:val="both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 xml:space="preserve">A disciplina Hidráulica Avançada apresenta os equacionamentos e modelos matemáticos que descrevem os escoamentos complexos (não uniformes, turbulentos, transientes, golpe de aríete, etc.) presentes nas áreas de mecânica dos fluidos e hidráulica. Portanto, essa disciplina é importante para a formação de alunos de mestrado/doutorado que visem desenvolver pesquisas relacionadas às áreas supracitadas.  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68" w:hRule="atLeast"/>
        </w:trPr>
        <w:tc>
          <w:tcPr>
            <w:tcW w:w="913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snapToGrid w:val="0"/>
            </w:pPr>
            <w:r>
              <w:rPr>
                <w:rFonts w:ascii="Trebuchet MS" w:hAnsi="Trebuchet MS" w:eastAsia="Times New Roman" w:cs="Trebuchet MS"/>
                <w:b/>
                <w:bCs/>
              </w:rPr>
              <w:t xml:space="preserve">6. </w:t>
            </w:r>
            <w:r>
              <w:rPr>
                <w:rFonts w:ascii="Trebuchet MS" w:hAnsi="Trebuchet MS" w:cs="Trebuchet MS"/>
                <w:b/>
                <w:bCs/>
              </w:rPr>
              <w:t>OBJETIVOS</w:t>
            </w:r>
            <w:r>
              <w:rPr>
                <w:rFonts w:ascii="Trebuchet MS" w:hAnsi="Trebuchet MS" w:eastAsia="Times New Roman" w:cs="Trebuchet MS"/>
                <w:b/>
                <w:bCs/>
              </w:rPr>
              <w:t>: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68" w:hRule="atLeast"/>
        </w:trPr>
        <w:tc>
          <w:tcPr>
            <w:tcW w:w="913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snapToGrid w:val="0"/>
              <w:jc w:val="both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 xml:space="preserve">Conhecer os fundamentos e técnicas de modelagem de escoamentos complexos relacionados às áreas de recursos hídricos e saneamento ambiental. 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33" w:hRule="atLeast"/>
        </w:trPr>
        <w:tc>
          <w:tcPr>
            <w:tcW w:w="9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snapToGrid w:val="0"/>
            </w:pPr>
            <w:r>
              <w:rPr>
                <w:rFonts w:ascii="Trebuchet MS" w:hAnsi="Trebuchet MS" w:eastAsia="Times New Roman" w:cs="Trebuchet MS"/>
                <w:b/>
                <w:bCs/>
              </w:rPr>
              <w:t>7. EMENTA: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63" w:hRule="atLeast"/>
        </w:trPr>
        <w:tc>
          <w:tcPr>
            <w:tcW w:w="913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uppressAutoHyphens w:val="0"/>
              <w:spacing w:before="100" w:beforeAutospacing="1" w:after="100" w:afterAutospacing="1"/>
              <w:jc w:val="both"/>
              <w:rPr>
                <w:rFonts w:eastAsia="Times New Roman"/>
                <w:lang w:eastAsia="en-US"/>
              </w:rPr>
            </w:pPr>
            <w:r>
              <w:rPr>
                <w:rFonts w:ascii="Trebuchet MS" w:hAnsi="Trebuchet MS" w:eastAsia="Times New Roman" w:cs="Trebuchet MS"/>
                <w:bCs/>
              </w:rPr>
              <w:t>Equações de conservação de massa, quantidade de movimento e energia. Equações de Navier-Stokes. Turbulência. Equações de Reynolds. Escoamentos transientes. Golpe de aríete. Dispositivos de alívio do golpe de aríete. Modelagem computacional.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62" w:hRule="atLeast"/>
        </w:trPr>
        <w:tc>
          <w:tcPr>
            <w:tcW w:w="913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snapToGrid w:val="0"/>
            </w:pPr>
            <w:r>
              <w:rPr>
                <w:rFonts w:ascii="Trebuchet MS" w:hAnsi="Trebuchet MS" w:eastAsia="Times New Roman" w:cs="Trebuchet MS"/>
                <w:b/>
                <w:bCs/>
              </w:rPr>
              <w:t>8. PROGRAMA DA DISCIPLINA/ATIVIDADE/MÓDULO: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63" w:hRule="atLeast"/>
        </w:trPr>
        <w:tc>
          <w:tcPr>
            <w:tcW w:w="4567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uppressAutoHyphens w:val="0"/>
              <w:spacing w:before="100" w:beforeAutospacing="1" w:after="100" w:afterAutospacing="1"/>
              <w:jc w:val="both"/>
              <w:rPr>
                <w:rFonts w:ascii="Trebuchet MS" w:hAnsi="Trebuchet MS" w:eastAsia="Times New Roman" w:cs="Trebuchet MS"/>
                <w:bCs/>
              </w:rPr>
            </w:pPr>
            <w:r>
              <w:rPr>
                <w:rFonts w:ascii="Trebuchet MS" w:hAnsi="Trebuchet MS" w:eastAsia="Times New Roman" w:cs="Trebuchet MS"/>
                <w:bCs/>
              </w:rPr>
              <w:t>1. Equações diferenciais de continuidade, quantidade de movimento e energia;</w:t>
            </w:r>
          </w:p>
          <w:p>
            <w:pPr>
              <w:suppressAutoHyphens w:val="0"/>
              <w:spacing w:before="100" w:beforeAutospacing="1" w:after="100" w:afterAutospacing="1"/>
              <w:jc w:val="both"/>
              <w:rPr>
                <w:rFonts w:ascii="Trebuchet MS" w:hAnsi="Trebuchet MS" w:eastAsia="Times New Roman" w:cs="Trebuchet MS"/>
                <w:bCs/>
              </w:rPr>
            </w:pPr>
            <w:r>
              <w:rPr>
                <w:rFonts w:ascii="Trebuchet MS" w:hAnsi="Trebuchet MS" w:eastAsia="Times New Roman" w:cs="Trebuchet MS"/>
                <w:bCs/>
              </w:rPr>
              <w:t>2. Equações de Navier-Stokes: Soluções analíticas e numéricas;</w:t>
            </w:r>
          </w:p>
          <w:p>
            <w:pPr>
              <w:suppressAutoHyphens w:val="0"/>
              <w:spacing w:before="100" w:beforeAutospacing="1" w:after="100" w:afterAutospacing="1"/>
              <w:jc w:val="both"/>
              <w:rPr>
                <w:rFonts w:ascii="Trebuchet MS" w:hAnsi="Trebuchet MS" w:eastAsia="Times New Roman" w:cs="Trebuchet MS"/>
                <w:bCs/>
              </w:rPr>
            </w:pPr>
            <w:r>
              <w:rPr>
                <w:rFonts w:ascii="Trebuchet MS" w:hAnsi="Trebuchet MS" w:eastAsia="Times New Roman" w:cs="Trebuchet MS"/>
                <w:bCs/>
              </w:rPr>
              <w:t xml:space="preserve">3. Caracterização da turbulência; </w:t>
            </w:r>
          </w:p>
          <w:p>
            <w:pPr>
              <w:suppressAutoHyphens w:val="0"/>
              <w:spacing w:before="100" w:beforeAutospacing="1" w:after="100" w:afterAutospacing="1"/>
              <w:jc w:val="both"/>
              <w:rPr>
                <w:rFonts w:ascii="Trebuchet MS" w:hAnsi="Trebuchet MS" w:eastAsia="Times New Roman" w:cs="Trebuchet MS"/>
                <w:bCs/>
              </w:rPr>
            </w:pPr>
            <w:r>
              <w:rPr>
                <w:rFonts w:ascii="Trebuchet MS" w:hAnsi="Trebuchet MS" w:eastAsia="Times New Roman" w:cs="Trebuchet MS"/>
                <w:bCs/>
              </w:rPr>
              <w:t>4. Equações de Reynolds: Modelos de turbulência;</w:t>
            </w:r>
          </w:p>
          <w:p>
            <w:pPr>
              <w:suppressAutoHyphens w:val="0"/>
              <w:spacing w:before="100" w:beforeAutospacing="1" w:after="100" w:afterAutospacing="1"/>
              <w:jc w:val="both"/>
              <w:rPr>
                <w:rFonts w:ascii="Trebuchet MS" w:hAnsi="Trebuchet MS" w:eastAsia="Times New Roman" w:cs="Trebuchet MS"/>
                <w:bCs/>
              </w:rPr>
            </w:pPr>
            <w:r>
              <w:rPr>
                <w:rFonts w:ascii="Trebuchet MS" w:hAnsi="Trebuchet MS" w:eastAsia="Times New Roman" w:cs="Trebuchet MS"/>
                <w:bCs/>
              </w:rPr>
              <w:t>5. Fluidodinâmica computacional (CFD).</w:t>
            </w:r>
          </w:p>
          <w:p>
            <w:pPr>
              <w:suppressAutoHyphens w:val="0"/>
              <w:spacing w:before="100" w:beforeAutospacing="1" w:after="100" w:afterAutospacing="1"/>
              <w:jc w:val="both"/>
              <w:rPr>
                <w:rFonts w:ascii="Trebuchet MS" w:hAnsi="Trebuchet MS" w:eastAsia="Times New Roman" w:cs="Trebuchet MS"/>
                <w:bCs/>
              </w:rPr>
            </w:pPr>
          </w:p>
        </w:tc>
        <w:tc>
          <w:tcPr>
            <w:tcW w:w="456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uppressAutoHyphens w:val="0"/>
              <w:spacing w:before="100" w:beforeAutospacing="1" w:after="100" w:afterAutospacing="1"/>
              <w:jc w:val="both"/>
              <w:rPr>
                <w:rFonts w:ascii="Trebuchet MS" w:hAnsi="Trebuchet MS" w:eastAsia="Times New Roman" w:cs="Trebuchet MS"/>
                <w:bCs/>
              </w:rPr>
            </w:pPr>
            <w:r>
              <w:rPr>
                <w:rFonts w:ascii="Trebuchet MS" w:hAnsi="Trebuchet MS" w:eastAsia="Times New Roman" w:cs="Trebuchet MS"/>
                <w:bCs/>
              </w:rPr>
              <w:t>1. Equações integrais de continuidade, quantidade de movimento e energia;</w:t>
            </w:r>
          </w:p>
          <w:p>
            <w:pPr>
              <w:suppressAutoHyphens w:val="0"/>
              <w:spacing w:before="100" w:beforeAutospacing="1" w:after="100" w:afterAutospacing="1"/>
              <w:jc w:val="both"/>
              <w:rPr>
                <w:rFonts w:ascii="Trebuchet MS" w:hAnsi="Trebuchet MS" w:eastAsia="Times New Roman" w:cs="Trebuchet MS"/>
                <w:bCs/>
              </w:rPr>
            </w:pPr>
            <w:r>
              <w:rPr>
                <w:rFonts w:ascii="Trebuchet MS" w:hAnsi="Trebuchet MS" w:eastAsia="Times New Roman" w:cs="Trebuchet MS"/>
                <w:bCs/>
              </w:rPr>
              <w:t>2. Equações para o regime transiente;</w:t>
            </w:r>
          </w:p>
          <w:p>
            <w:pPr>
              <w:suppressAutoHyphens w:val="0"/>
              <w:spacing w:before="100" w:beforeAutospacing="1" w:after="100" w:afterAutospacing="1"/>
              <w:jc w:val="both"/>
              <w:rPr>
                <w:rFonts w:ascii="Trebuchet MS" w:hAnsi="Trebuchet MS" w:eastAsia="Times New Roman" w:cs="Trebuchet MS"/>
                <w:bCs/>
              </w:rPr>
            </w:pPr>
            <w:r>
              <w:rPr>
                <w:rFonts w:ascii="Trebuchet MS" w:hAnsi="Trebuchet MS" w:eastAsia="Times New Roman" w:cs="Trebuchet MS"/>
                <w:bCs/>
              </w:rPr>
              <w:t xml:space="preserve">3. Transientes hidráulicos; </w:t>
            </w:r>
          </w:p>
          <w:p>
            <w:pPr>
              <w:suppressAutoHyphens w:val="0"/>
              <w:spacing w:before="100" w:beforeAutospacing="1" w:after="100" w:afterAutospacing="1"/>
              <w:jc w:val="both"/>
              <w:rPr>
                <w:rFonts w:ascii="Trebuchet MS" w:hAnsi="Trebuchet MS" w:eastAsia="Times New Roman" w:cs="Trebuchet MS"/>
                <w:bCs/>
              </w:rPr>
            </w:pPr>
            <w:r>
              <w:rPr>
                <w:rFonts w:ascii="Trebuchet MS" w:hAnsi="Trebuchet MS" w:eastAsia="Times New Roman" w:cs="Trebuchet MS"/>
                <w:bCs/>
              </w:rPr>
              <w:t xml:space="preserve">4. Golpe de aríete; </w:t>
            </w:r>
          </w:p>
          <w:p>
            <w:pPr>
              <w:suppressAutoHyphens w:val="0"/>
              <w:spacing w:before="100" w:beforeAutospacing="1" w:after="100" w:afterAutospacing="1"/>
              <w:jc w:val="both"/>
              <w:rPr>
                <w:rFonts w:ascii="Trebuchet MS" w:hAnsi="Trebuchet MS" w:eastAsia="Times New Roman" w:cs="Trebuchet MS"/>
                <w:bCs/>
              </w:rPr>
            </w:pPr>
            <w:r>
              <w:rPr>
                <w:rFonts w:ascii="Trebuchet MS" w:hAnsi="Trebuchet MS" w:eastAsia="Times New Roman" w:cs="Trebuchet MS"/>
                <w:bCs/>
              </w:rPr>
              <w:t>5. Mecanismos de alívio do Golpe de Aríete;</w:t>
            </w:r>
          </w:p>
          <w:p>
            <w:pPr>
              <w:suppressAutoHyphens w:val="0"/>
              <w:spacing w:before="100" w:beforeAutospacing="1" w:after="100" w:afterAutospacing="1"/>
              <w:jc w:val="both"/>
              <w:rPr>
                <w:rFonts w:ascii="Trebuchet MS" w:hAnsi="Trebuchet MS" w:eastAsia="Times New Roman" w:cs="Trebuchet MS"/>
                <w:bCs/>
              </w:rPr>
            </w:pPr>
            <w:r>
              <w:rPr>
                <w:rFonts w:ascii="Trebuchet MS" w:hAnsi="Trebuchet MS" w:eastAsia="Times New Roman" w:cs="Trebuchet MS"/>
                <w:bCs/>
              </w:rPr>
              <w:t>6. Modelagem computacional.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20" w:hRule="atLeast"/>
        </w:trPr>
        <w:tc>
          <w:tcPr>
            <w:tcW w:w="913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snapToGrid w:val="0"/>
            </w:pPr>
            <w:r>
              <w:rPr>
                <w:rFonts w:ascii="Trebuchet MS" w:hAnsi="Trebuchet MS" w:eastAsia="Times New Roman" w:cs="Trebuchet MS"/>
                <w:b/>
                <w:bCs/>
              </w:rPr>
              <w:t xml:space="preserve">9. </w:t>
            </w:r>
            <w:r>
              <w:rPr>
                <w:rFonts w:ascii="Trebuchet MS" w:hAnsi="Trebuchet MS" w:cs="Trebuchet MS"/>
                <w:b/>
                <w:bCs/>
              </w:rPr>
              <w:t>FORMA</w:t>
            </w:r>
            <w:r>
              <w:rPr>
                <w:rFonts w:ascii="Trebuchet MS" w:hAnsi="Trebuchet MS" w:eastAsia="Times New Roman" w:cs="Trebuchet MS"/>
                <w:b/>
                <w:bCs/>
              </w:rPr>
              <w:t xml:space="preserve"> </w:t>
            </w:r>
            <w:r>
              <w:rPr>
                <w:rFonts w:ascii="Trebuchet MS" w:hAnsi="Trebuchet MS" w:cs="Trebuchet MS"/>
                <w:b/>
                <w:bCs/>
              </w:rPr>
              <w:t>DE</w:t>
            </w:r>
            <w:r>
              <w:rPr>
                <w:rFonts w:ascii="Trebuchet MS" w:hAnsi="Trebuchet MS" w:eastAsia="Times New Roman" w:cs="Trebuchet MS"/>
                <w:b/>
                <w:bCs/>
              </w:rPr>
              <w:t xml:space="preserve"> </w:t>
            </w:r>
            <w:r>
              <w:rPr>
                <w:rFonts w:ascii="Trebuchet MS" w:hAnsi="Trebuchet MS" w:cs="Trebuchet MS"/>
                <w:b/>
                <w:bCs/>
              </w:rPr>
              <w:t>AVALIAÇÃO</w:t>
            </w:r>
            <w:r>
              <w:rPr>
                <w:rFonts w:ascii="Trebuchet MS" w:hAnsi="Trebuchet MS" w:eastAsia="Times New Roman" w:cs="Trebuchet MS"/>
                <w:b/>
                <w:bCs/>
              </w:rPr>
              <w:t>: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63" w:hRule="atLeast"/>
        </w:trPr>
        <w:tc>
          <w:tcPr>
            <w:tcW w:w="913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snapToGrid w:val="0"/>
              <w:rPr>
                <w:rFonts w:ascii="Trebuchet MS" w:hAnsi="Trebuchet MS" w:cs="Trebuchet MS"/>
                <w:bCs/>
              </w:rPr>
            </w:pPr>
            <w:r>
              <w:rPr>
                <w:rFonts w:ascii="Trebuchet MS" w:hAnsi="Trebuchet MS" w:cs="Trebuchet MS"/>
                <w:bCs/>
              </w:rPr>
              <w:t>Provas e trabalhos individuais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33" w:hRule="atLeast"/>
        </w:trPr>
        <w:tc>
          <w:tcPr>
            <w:tcW w:w="9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snapToGrid w:val="0"/>
            </w:pPr>
            <w:r>
              <w:rPr>
                <w:rFonts w:ascii="Trebuchet MS" w:hAnsi="Trebuchet MS" w:eastAsia="Times New Roman" w:cs="Trebuchet MS"/>
                <w:b/>
                <w:bCs/>
                <w:sz w:val="22"/>
                <w:szCs w:val="22"/>
              </w:rPr>
              <w:t>10</w:t>
            </w:r>
            <w:r>
              <w:rPr>
                <w:rFonts w:ascii="Trebuchet MS" w:hAnsi="Trebuchet MS" w:eastAsia="Times New Roman" w:cs="Trebuchet MS"/>
                <w:b/>
                <w:bCs/>
              </w:rPr>
              <w:t xml:space="preserve">. </w:t>
            </w:r>
            <w:r>
              <w:rPr>
                <w:rFonts w:ascii="Trebuchet MS" w:hAnsi="Trebuchet MS" w:cs="Trebuchet MS"/>
                <w:b/>
                <w:bCs/>
              </w:rPr>
              <w:t>BIBLIOGRAFIA:</w:t>
            </w:r>
            <w:r>
              <w:rPr>
                <w:rFonts w:ascii="Trebuchet MS" w:hAnsi="Trebuchet MS" w:eastAsia="Times New Roman" w:cs="Trebuchet MS"/>
                <w:b/>
                <w:bCs/>
              </w:rPr>
              <w:t xml:space="preserve"> 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63" w:hRule="atLeast"/>
        </w:trPr>
        <w:tc>
          <w:tcPr>
            <w:tcW w:w="913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uppressAutoHyphens w:val="0"/>
              <w:spacing w:before="100" w:beforeAutospacing="1" w:after="100" w:afterAutospacing="1"/>
              <w:jc w:val="both"/>
              <w:rPr>
                <w:rFonts w:ascii="Trebuchet MS" w:hAnsi="Trebuchet MS" w:eastAsia="Times New Roman" w:cs="Trebuchet MS"/>
                <w:bCs/>
                <w:lang w:val="en-US"/>
              </w:rPr>
            </w:pPr>
            <w:r>
              <w:rPr>
                <w:rFonts w:ascii="Trebuchet MS" w:hAnsi="Trebuchet MS" w:eastAsia="Times New Roman" w:cs="Trebuchet MS"/>
                <w:bCs/>
                <w:lang w:val="en-US"/>
              </w:rPr>
              <w:t>BERNARD, P. S., WALLACE, J. M. Turbulent Flow: Analysis, Measurement and Prediction</w:t>
            </w:r>
            <w:r>
              <w:rPr>
                <w:rFonts w:hint="default" w:ascii="Trebuchet MS" w:hAnsi="Trebuchet MS" w:eastAsia="Times New Roman" w:cs="Trebuchet MS"/>
                <w:bCs/>
                <w:lang w:val="pt-BR"/>
              </w:rPr>
              <w:t>.</w:t>
            </w:r>
            <w:r>
              <w:rPr>
                <w:rFonts w:ascii="Trebuchet MS" w:hAnsi="Trebuchet MS" w:eastAsia="Times New Roman" w:cs="Trebuchet MS"/>
                <w:bCs/>
                <w:lang w:val="en-US"/>
              </w:rPr>
              <w:t xml:space="preserve"> Wiley, 2002.</w:t>
            </w:r>
          </w:p>
          <w:p>
            <w:pPr>
              <w:suppressAutoHyphens w:val="0"/>
              <w:spacing w:before="100" w:beforeAutospacing="1" w:after="100" w:afterAutospacing="1"/>
              <w:jc w:val="both"/>
              <w:rPr>
                <w:rFonts w:ascii="Trebuchet MS" w:hAnsi="Trebuchet MS" w:eastAsia="Times New Roman" w:cs="Trebuchet MS"/>
                <w:bCs/>
                <w:lang w:val="en-US"/>
              </w:rPr>
            </w:pPr>
            <w:r>
              <w:rPr>
                <w:rFonts w:hint="default" w:ascii="Trebuchet MS" w:hAnsi="Trebuchet MS" w:eastAsia="Times New Roman"/>
                <w:bCs/>
                <w:lang w:val="en-US"/>
              </w:rPr>
              <w:t>ÇENGEL, Y. A.; CIMBALA, J. M. Fluid Mechanics: Fundamentals and Applications</w:t>
            </w:r>
            <w:r>
              <w:rPr>
                <w:rFonts w:hint="default" w:ascii="Trebuchet MS" w:hAnsi="Trebuchet MS" w:eastAsia="Times New Roman"/>
                <w:bCs/>
                <w:lang w:val="pt-BR"/>
              </w:rPr>
              <w:t>.</w:t>
            </w:r>
            <w:r>
              <w:rPr>
                <w:rFonts w:hint="default" w:ascii="Trebuchet MS" w:hAnsi="Trebuchet MS" w:eastAsia="Times New Roman"/>
                <w:bCs/>
                <w:lang w:val="en-US"/>
              </w:rPr>
              <w:t xml:space="preserve"> McGraw-Hill, 2017.</w:t>
            </w:r>
          </w:p>
          <w:p>
            <w:pPr>
              <w:suppressAutoHyphens w:val="0"/>
              <w:spacing w:before="100" w:beforeAutospacing="1" w:after="100" w:afterAutospacing="1"/>
              <w:jc w:val="both"/>
              <w:rPr>
                <w:rFonts w:ascii="Trebuchet MS" w:hAnsi="Trebuchet MS" w:eastAsia="Times New Roman" w:cs="Trebuchet MS"/>
                <w:bCs/>
                <w:lang w:val="en-US"/>
              </w:rPr>
            </w:pPr>
            <w:r>
              <w:rPr>
                <w:rFonts w:ascii="Trebuchet MS" w:hAnsi="Trebuchet MS" w:eastAsia="Times New Roman" w:cs="Trebuchet MS"/>
                <w:bCs/>
                <w:lang w:val="en-US"/>
              </w:rPr>
              <w:t>CHAUDHRY, M. H. Applied Hydraulic Transients. Springer, 2014.</w:t>
            </w:r>
          </w:p>
          <w:p>
            <w:pPr>
              <w:suppressAutoHyphens w:val="0"/>
              <w:spacing w:before="100" w:beforeAutospacing="1" w:after="100" w:afterAutospacing="1"/>
              <w:jc w:val="both"/>
              <w:rPr>
                <w:rFonts w:ascii="Trebuchet MS" w:hAnsi="Trebuchet MS" w:eastAsia="Times New Roman" w:cs="Trebuchet MS"/>
                <w:bCs/>
                <w:lang w:val="en-US"/>
              </w:rPr>
            </w:pPr>
            <w:r>
              <w:rPr>
                <w:rFonts w:ascii="Trebuchet MS" w:hAnsi="Trebuchet MS" w:eastAsia="Times New Roman" w:cs="Trebuchet MS"/>
                <w:bCs/>
                <w:lang w:val="en-US"/>
              </w:rPr>
              <w:t>KUNDU, P. K., COHEN, I. M. Fluid Mechanics</w:t>
            </w:r>
            <w:r>
              <w:rPr>
                <w:rFonts w:hint="default" w:ascii="Trebuchet MS" w:hAnsi="Trebuchet MS" w:eastAsia="Times New Roman" w:cs="Trebuchet MS"/>
                <w:bCs/>
                <w:lang w:val="pt-BR"/>
              </w:rPr>
              <w:t>.</w:t>
            </w:r>
            <w:r>
              <w:rPr>
                <w:rFonts w:ascii="Trebuchet MS" w:hAnsi="Trebuchet MS" w:eastAsia="Times New Roman" w:cs="Trebuchet MS"/>
                <w:bCs/>
                <w:lang w:val="en-US"/>
              </w:rPr>
              <w:t xml:space="preserve"> Academic Press</w:t>
            </w:r>
            <w:r>
              <w:rPr>
                <w:rFonts w:hint="default" w:ascii="Trebuchet MS" w:hAnsi="Trebuchet MS" w:eastAsia="Times New Roman" w:cs="Trebuchet MS"/>
                <w:bCs/>
                <w:lang w:val="pt-BR"/>
              </w:rPr>
              <w:t>,</w:t>
            </w:r>
            <w:r>
              <w:rPr>
                <w:rFonts w:ascii="Trebuchet MS" w:hAnsi="Trebuchet MS" w:eastAsia="Times New Roman" w:cs="Trebuchet MS"/>
                <w:bCs/>
                <w:lang w:val="en-US"/>
              </w:rPr>
              <w:t xml:space="preserve"> 200</w:t>
            </w:r>
            <w:r>
              <w:rPr>
                <w:rFonts w:hint="default" w:ascii="Trebuchet MS" w:hAnsi="Trebuchet MS" w:eastAsia="Times New Roman" w:cs="Trebuchet MS"/>
                <w:bCs/>
                <w:lang w:val="pt-BR"/>
              </w:rPr>
              <w:t>6</w:t>
            </w:r>
            <w:r>
              <w:rPr>
                <w:rFonts w:ascii="Trebuchet MS" w:hAnsi="Trebuchet MS" w:eastAsia="Times New Roman" w:cs="Trebuchet MS"/>
                <w:bCs/>
                <w:lang w:val="en-US"/>
              </w:rPr>
              <w:t>.</w:t>
            </w:r>
          </w:p>
          <w:p>
            <w:pPr>
              <w:suppressAutoHyphens w:val="0"/>
              <w:spacing w:before="100" w:beforeAutospacing="1" w:after="100" w:afterAutospacing="1"/>
              <w:jc w:val="both"/>
              <w:rPr>
                <w:rFonts w:ascii="Trebuchet MS" w:hAnsi="Trebuchet MS" w:eastAsia="Times New Roman" w:cs="Trebuchet MS"/>
                <w:bCs/>
                <w:lang w:val="en-US"/>
              </w:rPr>
            </w:pPr>
            <w:r>
              <w:rPr>
                <w:rFonts w:ascii="Trebuchet MS" w:hAnsi="Trebuchet MS" w:eastAsia="Times New Roman" w:cs="Trebuchet MS"/>
                <w:bCs/>
                <w:lang w:val="en-US"/>
              </w:rPr>
              <w:t>PARMAKIAN, J. Waterhammer Analysis</w:t>
            </w:r>
            <w:r>
              <w:rPr>
                <w:rFonts w:hint="default" w:ascii="Trebuchet MS" w:hAnsi="Trebuchet MS" w:eastAsia="Times New Roman" w:cs="Trebuchet MS"/>
                <w:bCs/>
                <w:lang w:val="pt-BR"/>
              </w:rPr>
              <w:t>.</w:t>
            </w:r>
            <w:r>
              <w:rPr>
                <w:rFonts w:ascii="Trebuchet MS" w:hAnsi="Trebuchet MS" w:eastAsia="Times New Roman" w:cs="Trebuchet MS"/>
                <w:bCs/>
                <w:lang w:val="en-US"/>
              </w:rPr>
              <w:t xml:space="preserve"> Dover Publications Inc.</w:t>
            </w:r>
            <w:r>
              <w:rPr>
                <w:rFonts w:hint="default" w:ascii="Trebuchet MS" w:hAnsi="Trebuchet MS" w:eastAsia="Times New Roman" w:cs="Trebuchet MS"/>
                <w:bCs/>
                <w:lang w:val="pt-BR"/>
              </w:rPr>
              <w:t>,</w:t>
            </w:r>
            <w:r>
              <w:rPr>
                <w:rFonts w:ascii="Trebuchet MS" w:hAnsi="Trebuchet MS" w:eastAsia="Times New Roman" w:cs="Trebuchet MS"/>
                <w:bCs/>
                <w:lang w:val="en-US"/>
              </w:rPr>
              <w:t xml:space="preserve"> 1963.</w:t>
            </w:r>
          </w:p>
          <w:p>
            <w:pPr>
              <w:suppressAutoHyphens w:val="0"/>
              <w:spacing w:before="100" w:beforeAutospacing="1" w:after="100" w:afterAutospacing="1"/>
              <w:jc w:val="both"/>
              <w:rPr>
                <w:rFonts w:hint="default" w:ascii="Trebuchet MS" w:hAnsi="Trebuchet MS" w:eastAsia="Times New Roman" w:cs="Trebuchet MS"/>
                <w:bCs/>
                <w:lang w:val="pt-BR"/>
              </w:rPr>
            </w:pPr>
            <w:r>
              <w:rPr>
                <w:rFonts w:hint="default" w:ascii="Trebuchet MS" w:hAnsi="Trebuchet MS" w:eastAsia="Times New Roman"/>
                <w:bCs/>
                <w:lang w:val="pt-BR"/>
              </w:rPr>
              <w:t xml:space="preserve">POPESCU, I. </w:t>
            </w:r>
            <w:r>
              <w:rPr>
                <w:rFonts w:hint="default" w:ascii="Trebuchet MS" w:hAnsi="Trebuchet MS" w:eastAsia="Times New Roman"/>
                <w:bCs/>
                <w:lang w:val="en-US"/>
              </w:rPr>
              <w:t>Computational Hydraulics</w:t>
            </w:r>
            <w:r>
              <w:rPr>
                <w:rFonts w:hint="default" w:ascii="Trebuchet MS" w:hAnsi="Trebuchet MS" w:eastAsia="Times New Roman"/>
                <w:bCs/>
                <w:lang w:val="pt-BR"/>
              </w:rPr>
              <w:t xml:space="preserve">: </w:t>
            </w:r>
            <w:r>
              <w:rPr>
                <w:rFonts w:hint="default" w:ascii="Trebuchet MS" w:hAnsi="Trebuchet MS" w:eastAsia="Times New Roman"/>
                <w:bCs/>
                <w:lang w:val="en-US"/>
              </w:rPr>
              <w:t>Numerical Methods and Modelling</w:t>
            </w:r>
            <w:r>
              <w:rPr>
                <w:rFonts w:hint="default" w:ascii="Trebuchet MS" w:hAnsi="Trebuchet MS" w:eastAsia="Times New Roman"/>
                <w:bCs/>
                <w:lang w:val="pt-BR"/>
              </w:rPr>
              <w:t>. IWA, 2020.</w:t>
            </w:r>
          </w:p>
          <w:p>
            <w:pPr>
              <w:suppressAutoHyphens w:val="0"/>
              <w:spacing w:before="100" w:beforeAutospacing="1" w:after="100" w:afterAutospacing="1"/>
              <w:jc w:val="both"/>
              <w:rPr>
                <w:rFonts w:ascii="Trebuchet MS" w:hAnsi="Trebuchet MS" w:eastAsia="Times New Roman" w:cs="Trebuchet MS"/>
                <w:bCs/>
              </w:rPr>
            </w:pPr>
            <w:r>
              <w:rPr>
                <w:rFonts w:ascii="Trebuchet MS" w:hAnsi="Trebuchet MS" w:eastAsia="Times New Roman" w:cs="Trebuchet MS"/>
                <w:bCs/>
              </w:rPr>
              <w:t xml:space="preserve">PORTO, R. M. Hidráulica Básica. EESC/USP, 2006. </w:t>
            </w:r>
          </w:p>
          <w:p>
            <w:pPr>
              <w:suppressAutoHyphens w:val="0"/>
              <w:spacing w:before="100" w:beforeAutospacing="1" w:after="100" w:afterAutospacing="1"/>
              <w:jc w:val="both"/>
              <w:rPr>
                <w:rFonts w:ascii="Trebuchet MS" w:hAnsi="Trebuchet MS" w:eastAsia="Times New Roman" w:cs="Trebuchet MS"/>
                <w:bCs/>
              </w:rPr>
            </w:pPr>
            <w:r>
              <w:rPr>
                <w:rFonts w:ascii="Trebuchet MS" w:hAnsi="Trebuchet MS" w:eastAsia="Times New Roman" w:cs="Trebuchet MS"/>
                <w:bCs/>
              </w:rPr>
              <w:t xml:space="preserve">SCHULZ, H. E. O Essencial em Fenômenos de Transporte. EESC/USP, 2013. </w:t>
            </w:r>
          </w:p>
          <w:p>
            <w:pPr>
              <w:suppressAutoHyphens w:val="0"/>
              <w:spacing w:before="100" w:beforeAutospacing="1" w:after="100" w:afterAutospacing="1"/>
              <w:jc w:val="both"/>
              <w:rPr>
                <w:rFonts w:ascii="Trebuchet MS" w:hAnsi="Trebuchet MS" w:eastAsia="Times New Roman" w:cs="Trebuchet MS"/>
                <w:bCs/>
                <w:lang w:val="en-US"/>
              </w:rPr>
            </w:pPr>
            <w:r>
              <w:rPr>
                <w:rFonts w:ascii="Trebuchet MS" w:hAnsi="Trebuchet MS" w:eastAsia="Times New Roman" w:cs="Trebuchet MS"/>
                <w:bCs/>
              </w:rPr>
              <w:t xml:space="preserve">SIMÕES, A. L. A., SCHULZ, H. E., PORTO, R. M. Métodos Computacionais em Hidráulica. </w:t>
            </w:r>
            <w:r>
              <w:rPr>
                <w:rFonts w:ascii="Trebuchet MS" w:hAnsi="Trebuchet MS" w:eastAsia="Times New Roman" w:cs="Trebuchet MS"/>
                <w:bCs/>
                <w:lang w:val="en-US"/>
              </w:rPr>
              <w:t>EDUFBA, 2017.</w:t>
            </w:r>
          </w:p>
          <w:p>
            <w:pPr>
              <w:suppressAutoHyphens w:val="0"/>
              <w:spacing w:before="100" w:beforeAutospacing="1" w:after="100" w:afterAutospacing="1"/>
              <w:jc w:val="both"/>
              <w:rPr>
                <w:rFonts w:ascii="Trebuchet MS" w:hAnsi="Trebuchet MS" w:eastAsia="Times New Roman" w:cs="Trebuchet MS"/>
                <w:bCs/>
                <w:lang w:val="en-US"/>
              </w:rPr>
            </w:pPr>
            <w:r>
              <w:rPr>
                <w:rFonts w:ascii="Trebuchet MS" w:hAnsi="Trebuchet MS" w:eastAsia="Times New Roman" w:cs="Trebuchet MS"/>
                <w:bCs/>
                <w:lang w:val="en-US"/>
              </w:rPr>
              <w:t>STREETER, V. L., WYLIE, E. B. Hydraulic Transients</w:t>
            </w:r>
            <w:r>
              <w:rPr>
                <w:rFonts w:hint="default" w:ascii="Trebuchet MS" w:hAnsi="Trebuchet MS" w:eastAsia="Times New Roman" w:cs="Trebuchet MS"/>
                <w:bCs/>
                <w:lang w:val="pt-BR"/>
              </w:rPr>
              <w:t>.</w:t>
            </w:r>
            <w:r>
              <w:rPr>
                <w:rFonts w:ascii="Trebuchet MS" w:hAnsi="Trebuchet MS" w:eastAsia="Times New Roman" w:cs="Trebuchet MS"/>
                <w:bCs/>
                <w:lang w:val="en-US"/>
              </w:rPr>
              <w:t xml:space="preserve"> McGraw-Hill, 1967.</w:t>
            </w:r>
          </w:p>
        </w:tc>
      </w:tr>
    </w:tbl>
    <w:p>
      <w:pPr>
        <w:autoSpaceDE w:val="0"/>
        <w:rPr>
          <w:lang w:val="en-US"/>
        </w:rPr>
      </w:pPr>
    </w:p>
    <w:p>
      <w:pPr>
        <w:autoSpaceDE w:val="0"/>
        <w:ind w:left="2124"/>
        <w:rPr>
          <w:rFonts w:ascii="Trebuchet MS" w:hAnsi="Trebuchet MS" w:cs="Trebuchet MS"/>
          <w:lang w:val="en-US"/>
        </w:rPr>
      </w:pPr>
    </w:p>
    <w:sectPr>
      <w:pgSz w:w="12240" w:h="15840"/>
      <w:pgMar w:top="1134" w:right="1584" w:bottom="1417" w:left="170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ohit Hindi">
    <w:altName w:val="Yu Gothic"/>
    <w:panose1 w:val="00000000000000000000"/>
    <w:charset w:val="8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Liberation Sans">
    <w:altName w:val="Yu Gothic"/>
    <w:panose1 w:val="00000000000000000000"/>
    <w:charset w:val="80"/>
    <w:family w:val="swiss"/>
    <w:pitch w:val="default"/>
    <w:sig w:usb0="00000000" w:usb1="00000000" w:usb2="00000000" w:usb3="00000000" w:csb0="00000000" w:csb1="00000000"/>
  </w:font>
  <w:font w:name="WenQuanYi Micro Hei">
    <w:altName w:val="Yu Gothic"/>
    <w:panose1 w:val="00000000000000000000"/>
    <w:charset w:val="8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cumentProtection w:enforcement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0E90"/>
    <w:rsid w:val="00001589"/>
    <w:rsid w:val="000243C6"/>
    <w:rsid w:val="000411DB"/>
    <w:rsid w:val="000508B7"/>
    <w:rsid w:val="00052175"/>
    <w:rsid w:val="00060859"/>
    <w:rsid w:val="00071DF9"/>
    <w:rsid w:val="000A047A"/>
    <w:rsid w:val="000E3CF3"/>
    <w:rsid w:val="0012573B"/>
    <w:rsid w:val="00130070"/>
    <w:rsid w:val="00135FB5"/>
    <w:rsid w:val="0016669F"/>
    <w:rsid w:val="001813FC"/>
    <w:rsid w:val="00194F6B"/>
    <w:rsid w:val="001D216E"/>
    <w:rsid w:val="001D4262"/>
    <w:rsid w:val="00217993"/>
    <w:rsid w:val="00221D9A"/>
    <w:rsid w:val="002223A0"/>
    <w:rsid w:val="0025065E"/>
    <w:rsid w:val="00254F2D"/>
    <w:rsid w:val="0029096B"/>
    <w:rsid w:val="002A0D43"/>
    <w:rsid w:val="00311354"/>
    <w:rsid w:val="00315412"/>
    <w:rsid w:val="003227A2"/>
    <w:rsid w:val="0033530F"/>
    <w:rsid w:val="00351DF3"/>
    <w:rsid w:val="003D58DB"/>
    <w:rsid w:val="0041250D"/>
    <w:rsid w:val="004165ED"/>
    <w:rsid w:val="00436EE1"/>
    <w:rsid w:val="004518C3"/>
    <w:rsid w:val="00467ACC"/>
    <w:rsid w:val="004972D9"/>
    <w:rsid w:val="004A3A81"/>
    <w:rsid w:val="004C7E26"/>
    <w:rsid w:val="004D3474"/>
    <w:rsid w:val="004F02FA"/>
    <w:rsid w:val="004F481B"/>
    <w:rsid w:val="004F6B34"/>
    <w:rsid w:val="00514A80"/>
    <w:rsid w:val="00527A9A"/>
    <w:rsid w:val="00546E22"/>
    <w:rsid w:val="00546E51"/>
    <w:rsid w:val="00557E57"/>
    <w:rsid w:val="00560897"/>
    <w:rsid w:val="00591384"/>
    <w:rsid w:val="00592ECE"/>
    <w:rsid w:val="005A3AF7"/>
    <w:rsid w:val="005A60BA"/>
    <w:rsid w:val="005B411D"/>
    <w:rsid w:val="005C377E"/>
    <w:rsid w:val="005D048A"/>
    <w:rsid w:val="005F0977"/>
    <w:rsid w:val="005F1F5A"/>
    <w:rsid w:val="00623A2E"/>
    <w:rsid w:val="0065346E"/>
    <w:rsid w:val="00691E64"/>
    <w:rsid w:val="006953B0"/>
    <w:rsid w:val="0071751C"/>
    <w:rsid w:val="0074009E"/>
    <w:rsid w:val="0074068A"/>
    <w:rsid w:val="00744A4D"/>
    <w:rsid w:val="007E5452"/>
    <w:rsid w:val="007E6D98"/>
    <w:rsid w:val="007E7395"/>
    <w:rsid w:val="007F63F3"/>
    <w:rsid w:val="00843544"/>
    <w:rsid w:val="00857E5B"/>
    <w:rsid w:val="00866BE9"/>
    <w:rsid w:val="008968C1"/>
    <w:rsid w:val="008B7475"/>
    <w:rsid w:val="008E6081"/>
    <w:rsid w:val="008F5F1B"/>
    <w:rsid w:val="0091771F"/>
    <w:rsid w:val="00924657"/>
    <w:rsid w:val="00940E90"/>
    <w:rsid w:val="00952ED0"/>
    <w:rsid w:val="009A68FD"/>
    <w:rsid w:val="009B2DD6"/>
    <w:rsid w:val="009F4B3B"/>
    <w:rsid w:val="009F5C5A"/>
    <w:rsid w:val="009F6F7C"/>
    <w:rsid w:val="009F6FC0"/>
    <w:rsid w:val="00A22DE2"/>
    <w:rsid w:val="00A30E6C"/>
    <w:rsid w:val="00A457F5"/>
    <w:rsid w:val="00A92FD2"/>
    <w:rsid w:val="00A93C46"/>
    <w:rsid w:val="00AA179B"/>
    <w:rsid w:val="00AC7363"/>
    <w:rsid w:val="00AE3E5B"/>
    <w:rsid w:val="00B02D72"/>
    <w:rsid w:val="00B14850"/>
    <w:rsid w:val="00B2319F"/>
    <w:rsid w:val="00B32357"/>
    <w:rsid w:val="00B36C1B"/>
    <w:rsid w:val="00B703D3"/>
    <w:rsid w:val="00BD2EF4"/>
    <w:rsid w:val="00C00E29"/>
    <w:rsid w:val="00C033A8"/>
    <w:rsid w:val="00C20DB6"/>
    <w:rsid w:val="00C22740"/>
    <w:rsid w:val="00C9227C"/>
    <w:rsid w:val="00CA2C70"/>
    <w:rsid w:val="00CD42B4"/>
    <w:rsid w:val="00D0500D"/>
    <w:rsid w:val="00D26124"/>
    <w:rsid w:val="00D5336B"/>
    <w:rsid w:val="00D76CA1"/>
    <w:rsid w:val="00D9580A"/>
    <w:rsid w:val="00D97725"/>
    <w:rsid w:val="00DD3879"/>
    <w:rsid w:val="00E00EA2"/>
    <w:rsid w:val="00E60279"/>
    <w:rsid w:val="00E72CB6"/>
    <w:rsid w:val="00E81DE6"/>
    <w:rsid w:val="00EB1D3E"/>
    <w:rsid w:val="00F06DCF"/>
    <w:rsid w:val="00F071E0"/>
    <w:rsid w:val="00F30084"/>
    <w:rsid w:val="00F35AB3"/>
    <w:rsid w:val="00F36ABB"/>
    <w:rsid w:val="00F66102"/>
    <w:rsid w:val="00FB028B"/>
    <w:rsid w:val="00FC2B0D"/>
    <w:rsid w:val="00FE2F55"/>
    <w:rsid w:val="00FF3AD1"/>
    <w:rsid w:val="00FF57E2"/>
    <w:rsid w:val="156F65D0"/>
    <w:rsid w:val="2B4524C7"/>
    <w:rsid w:val="2C301917"/>
    <w:rsid w:val="2DB5156B"/>
    <w:rsid w:val="32ED6A9B"/>
    <w:rsid w:val="3BB20336"/>
    <w:rsid w:val="46D70821"/>
    <w:rsid w:val="4D085721"/>
    <w:rsid w:val="5EAF1844"/>
    <w:rsid w:val="62B53B18"/>
    <w:rsid w:val="63DF1285"/>
    <w:rsid w:val="65BE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SimSun" w:cs="Times New Roman"/>
      <w:sz w:val="24"/>
      <w:szCs w:val="24"/>
      <w:lang w:val="pt-BR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3">
    <w:name w:val="Body Text 3"/>
    <w:basedOn w:val="1"/>
    <w:link w:val="33"/>
    <w:semiHidden/>
    <w:unhideWhenUsed/>
    <w:uiPriority w:val="99"/>
    <w:pPr>
      <w:spacing w:after="120"/>
    </w:pPr>
    <w:rPr>
      <w:sz w:val="16"/>
      <w:szCs w:val="16"/>
    </w:rPr>
  </w:style>
  <w:style w:type="paragraph" w:styleId="4">
    <w:name w:val="caption"/>
    <w:basedOn w:val="1"/>
    <w:next w:val="1"/>
    <w:qFormat/>
    <w:uiPriority w:val="0"/>
    <w:rPr>
      <w:rFonts w:eastAsia="Times New Roman"/>
      <w:b/>
      <w:szCs w:val="20"/>
    </w:rPr>
  </w:style>
  <w:style w:type="paragraph" w:styleId="5">
    <w:name w:val="header"/>
    <w:basedOn w:val="1"/>
    <w:link w:val="32"/>
    <w:unhideWhenUsed/>
    <w:qFormat/>
    <w:uiPriority w:val="99"/>
    <w:pPr>
      <w:tabs>
        <w:tab w:val="center" w:pos="4252"/>
        <w:tab w:val="right" w:pos="8504"/>
      </w:tabs>
      <w:suppressAutoHyphens w:val="0"/>
    </w:pPr>
    <w:rPr>
      <w:rFonts w:ascii="Calibri" w:hAnsi="Calibri" w:eastAsia="Calibri"/>
      <w:sz w:val="22"/>
      <w:szCs w:val="22"/>
      <w:lang w:eastAsia="en-US"/>
    </w:rPr>
  </w:style>
  <w:style w:type="paragraph" w:styleId="6">
    <w:name w:val="List"/>
    <w:basedOn w:val="2"/>
    <w:qFormat/>
    <w:uiPriority w:val="0"/>
    <w:rPr>
      <w:rFonts w:cs="Lohit Hindi"/>
    </w:rPr>
  </w:style>
  <w:style w:type="character" w:customStyle="1" w:styleId="9">
    <w:name w:val="WW8Num1z0"/>
    <w:qFormat/>
    <w:uiPriority w:val="0"/>
    <w:rPr>
      <w:rFonts w:ascii="Trebuchet MS" w:hAnsi="Trebuchet MS" w:eastAsia="Times New Roman" w:cs="Trebuchet MS"/>
      <w:b/>
      <w:bCs/>
      <w:color w:val="auto"/>
      <w:sz w:val="22"/>
      <w:szCs w:val="22"/>
      <w:lang w:val="pt-BR" w:eastAsia="zh-CN" w:bidi="ar-SA"/>
    </w:rPr>
  </w:style>
  <w:style w:type="character" w:customStyle="1" w:styleId="10">
    <w:name w:val="WW8Num2z0"/>
    <w:qFormat/>
    <w:uiPriority w:val="0"/>
  </w:style>
  <w:style w:type="character" w:customStyle="1" w:styleId="11">
    <w:name w:val="WW8Num2z1"/>
    <w:qFormat/>
    <w:uiPriority w:val="0"/>
  </w:style>
  <w:style w:type="character" w:customStyle="1" w:styleId="12">
    <w:name w:val="WW8Num2z2"/>
    <w:qFormat/>
    <w:uiPriority w:val="0"/>
  </w:style>
  <w:style w:type="character" w:customStyle="1" w:styleId="13">
    <w:name w:val="WW8Num2z3"/>
    <w:qFormat/>
    <w:uiPriority w:val="0"/>
  </w:style>
  <w:style w:type="character" w:customStyle="1" w:styleId="14">
    <w:name w:val="WW8Num2z4"/>
    <w:qFormat/>
    <w:uiPriority w:val="0"/>
  </w:style>
  <w:style w:type="character" w:customStyle="1" w:styleId="15">
    <w:name w:val="WW8Num2z5"/>
    <w:uiPriority w:val="0"/>
  </w:style>
  <w:style w:type="character" w:customStyle="1" w:styleId="16">
    <w:name w:val="WW8Num2z6"/>
    <w:uiPriority w:val="0"/>
  </w:style>
  <w:style w:type="character" w:customStyle="1" w:styleId="17">
    <w:name w:val="WW8Num2z7"/>
    <w:qFormat/>
    <w:uiPriority w:val="0"/>
  </w:style>
  <w:style w:type="character" w:customStyle="1" w:styleId="18">
    <w:name w:val="WW8Num2z8"/>
    <w:qFormat/>
    <w:uiPriority w:val="0"/>
  </w:style>
  <w:style w:type="character" w:customStyle="1" w:styleId="19">
    <w:name w:val="Absatz-Standardschriftart"/>
    <w:uiPriority w:val="0"/>
  </w:style>
  <w:style w:type="character" w:customStyle="1" w:styleId="20">
    <w:name w:val="Fonte parág. padrão2"/>
    <w:uiPriority w:val="0"/>
  </w:style>
  <w:style w:type="character" w:customStyle="1" w:styleId="21">
    <w:name w:val="WW-Absatz-Standardschriftart"/>
    <w:uiPriority w:val="0"/>
  </w:style>
  <w:style w:type="character" w:customStyle="1" w:styleId="22">
    <w:name w:val="WW-Absatz-Standardschriftart1"/>
    <w:qFormat/>
    <w:uiPriority w:val="0"/>
  </w:style>
  <w:style w:type="character" w:customStyle="1" w:styleId="23">
    <w:name w:val="WW-Absatz-Standardschriftart11"/>
    <w:qFormat/>
    <w:uiPriority w:val="0"/>
  </w:style>
  <w:style w:type="character" w:customStyle="1" w:styleId="24">
    <w:name w:val="WW-Absatz-Standardschriftart111"/>
    <w:qFormat/>
    <w:uiPriority w:val="0"/>
  </w:style>
  <w:style w:type="character" w:customStyle="1" w:styleId="25">
    <w:name w:val="Fonte parág. padrão1"/>
    <w:uiPriority w:val="0"/>
  </w:style>
  <w:style w:type="paragraph" w:customStyle="1" w:styleId="26">
    <w:name w:val="Título2"/>
    <w:basedOn w:val="1"/>
    <w:next w:val="2"/>
    <w:qFormat/>
    <w:uiPriority w:val="0"/>
    <w:pPr>
      <w:keepNext/>
      <w:spacing w:before="240" w:after="120"/>
    </w:pPr>
    <w:rPr>
      <w:rFonts w:ascii="Liberation Sans" w:hAnsi="Liberation Sans" w:eastAsia="WenQuanYi Micro Hei" w:cs="Lohit Hindi"/>
      <w:sz w:val="28"/>
      <w:szCs w:val="28"/>
    </w:rPr>
  </w:style>
  <w:style w:type="paragraph" w:customStyle="1" w:styleId="27">
    <w:name w:val="Índice"/>
    <w:basedOn w:val="1"/>
    <w:qFormat/>
    <w:uiPriority w:val="0"/>
    <w:pPr>
      <w:suppressLineNumbers/>
    </w:pPr>
    <w:rPr>
      <w:rFonts w:cs="Lohit Hindi"/>
    </w:rPr>
  </w:style>
  <w:style w:type="paragraph" w:customStyle="1" w:styleId="28">
    <w:name w:val="Título1"/>
    <w:basedOn w:val="1"/>
    <w:next w:val="2"/>
    <w:qFormat/>
    <w:uiPriority w:val="0"/>
    <w:pPr>
      <w:keepNext/>
      <w:spacing w:before="240" w:after="120"/>
    </w:pPr>
    <w:rPr>
      <w:rFonts w:ascii="Arial" w:hAnsi="Arial" w:eastAsia="WenQuanYi Micro Hei" w:cs="Lohit Hindi"/>
      <w:sz w:val="28"/>
      <w:szCs w:val="28"/>
    </w:rPr>
  </w:style>
  <w:style w:type="paragraph" w:customStyle="1" w:styleId="29">
    <w:name w:val="Conteúdo de tabela"/>
    <w:basedOn w:val="1"/>
    <w:qFormat/>
    <w:uiPriority w:val="0"/>
    <w:pPr>
      <w:suppressLineNumbers/>
    </w:pPr>
  </w:style>
  <w:style w:type="paragraph" w:customStyle="1" w:styleId="30">
    <w:name w:val="Conteúdo da tabela"/>
    <w:basedOn w:val="1"/>
    <w:qFormat/>
    <w:uiPriority w:val="0"/>
    <w:pPr>
      <w:suppressLineNumbers/>
    </w:pPr>
  </w:style>
  <w:style w:type="paragraph" w:customStyle="1" w:styleId="31">
    <w:name w:val="Título de tabela"/>
    <w:basedOn w:val="29"/>
    <w:uiPriority w:val="0"/>
    <w:pPr>
      <w:jc w:val="center"/>
    </w:pPr>
    <w:rPr>
      <w:b/>
      <w:bCs/>
    </w:rPr>
  </w:style>
  <w:style w:type="character" w:customStyle="1" w:styleId="32">
    <w:name w:val="Cabeçalho Char"/>
    <w:link w:val="5"/>
    <w:uiPriority w:val="99"/>
    <w:rPr>
      <w:rFonts w:ascii="Calibri" w:hAnsi="Calibri" w:eastAsia="Calibri"/>
      <w:sz w:val="22"/>
      <w:szCs w:val="22"/>
      <w:lang w:eastAsia="en-US"/>
    </w:rPr>
  </w:style>
  <w:style w:type="character" w:customStyle="1" w:styleId="33">
    <w:name w:val="Corpo de texto 3 Char"/>
    <w:link w:val="3"/>
    <w:semiHidden/>
    <w:qFormat/>
    <w:uiPriority w:val="99"/>
    <w:rPr>
      <w:rFonts w:eastAsia="SimSun"/>
      <w:sz w:val="16"/>
      <w:szCs w:val="16"/>
      <w:lang w:val="pt-BR" w:eastAsia="zh-CN"/>
    </w:rPr>
  </w:style>
  <w:style w:type="paragraph" w:styleId="34">
    <w:name w:val="Quote"/>
    <w:basedOn w:val="1"/>
    <w:next w:val="1"/>
    <w:link w:val="35"/>
    <w:qFormat/>
    <w:uiPriority w:val="29"/>
    <w:pPr>
      <w:suppressAutoHyphens w:val="0"/>
    </w:pPr>
    <w:rPr>
      <w:rFonts w:eastAsia="Calibri"/>
      <w:iCs/>
      <w:color w:val="404040"/>
      <w:sz w:val="20"/>
      <w:lang w:eastAsia="en-US"/>
    </w:rPr>
  </w:style>
  <w:style w:type="character" w:customStyle="1" w:styleId="35">
    <w:name w:val="Citação Char"/>
    <w:link w:val="34"/>
    <w:uiPriority w:val="29"/>
    <w:rPr>
      <w:rFonts w:eastAsia="Calibri"/>
      <w:iCs/>
      <w:color w:val="404040"/>
      <w:szCs w:val="24"/>
      <w:lang w:eastAsia="en-US"/>
    </w:rPr>
  </w:style>
  <w:style w:type="paragraph" w:styleId="36">
    <w:name w:val="List Paragraph"/>
    <w:basedOn w:val="1"/>
    <w:qFormat/>
    <w:uiPriority w:val="34"/>
    <w:pPr>
      <w:suppressAutoHyphens w:val="0"/>
      <w:ind w:left="720"/>
      <w:contextualSpacing/>
    </w:pPr>
    <w:rPr>
      <w:rFonts w:eastAsia="Times New Roman"/>
      <w:szCs w:val="20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3"/>
    <customShpInfo spid="_x0000_s1032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486</Words>
  <Characters>2626</Characters>
  <Lines>21</Lines>
  <Paragraphs>6</Paragraphs>
  <TotalTime>488</TotalTime>
  <ScaleCrop>false</ScaleCrop>
  <LinksUpToDate>false</LinksUpToDate>
  <CharactersWithSpaces>3106</CharactersWithSpaces>
  <Application>WPS Office_11.2.0.9635_F1E327BC-269C-435d-A152-05C5408002CA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2018-04-18T18:24:00Z</dcterms:created>
  <dc:creator>Ivan de Oliveira</dc:creator>
  <cp:lastModifiedBy>Iran E. Lima Neto</cp:lastModifiedBy>
  <cp:lastPrinted>2009-04-13T11:36:00Z</cp:lastPrinted>
  <dcterms:modified xsi:type="dcterms:W3CDTF">2020-08-31T14:32:38Z</dcterms:modified>
  <dc:title> </dc:title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1033-11.2.0.9635</vt:lpwstr>
  </property>
</Properties>
</file>